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64" w:rsidRDefault="00CE7E64" w:rsidP="00CE7E64">
      <w:pPr>
        <w:jc w:val="both"/>
        <w:rPr>
          <w:b/>
          <w:sz w:val="28"/>
        </w:rPr>
      </w:pPr>
      <w:r>
        <w:rPr>
          <w:b/>
          <w:sz w:val="28"/>
        </w:rPr>
        <w:t>Blitze unter Wasser</w:t>
      </w:r>
    </w:p>
    <w:p w:rsidR="00CE7E64" w:rsidRDefault="00CE7E64" w:rsidP="00CE7E64">
      <w:pPr>
        <w:jc w:val="both"/>
        <w:rPr>
          <w:b/>
          <w:sz w:val="24"/>
        </w:rPr>
      </w:pPr>
    </w:p>
    <w:p w:rsidR="00CE7E64" w:rsidRDefault="00CE7E64" w:rsidP="00CE7E64">
      <w:pPr>
        <w:jc w:val="both"/>
        <w:rPr>
          <w:b/>
          <w:sz w:val="24"/>
        </w:rPr>
      </w:pPr>
      <w:r>
        <w:rPr>
          <w:b/>
          <w:sz w:val="24"/>
        </w:rPr>
        <w:t>Chemische Grundlagen: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 xml:space="preserve">Kaliumpermanganat wird durch </w:t>
      </w:r>
      <w:proofErr w:type="spellStart"/>
      <w:r>
        <w:rPr>
          <w:sz w:val="24"/>
        </w:rPr>
        <w:t>konz</w:t>
      </w:r>
      <w:proofErr w:type="spellEnd"/>
      <w:r>
        <w:rPr>
          <w:sz w:val="24"/>
        </w:rPr>
        <w:t xml:space="preserve">. Schwefelsäure zersetzt. Dabei entsteht das </w:t>
      </w:r>
      <w:proofErr w:type="spellStart"/>
      <w:r>
        <w:rPr>
          <w:sz w:val="24"/>
        </w:rPr>
        <w:t>unbe</w:t>
      </w:r>
      <w:proofErr w:type="spellEnd"/>
      <w:r>
        <w:rPr>
          <w:sz w:val="24"/>
        </w:rPr>
        <w:t xml:space="preserve"> -ständige Mangan (VII) - </w:t>
      </w:r>
      <w:proofErr w:type="spellStart"/>
      <w:r>
        <w:rPr>
          <w:sz w:val="24"/>
        </w:rPr>
        <w:t>oxid</w:t>
      </w:r>
      <w:proofErr w:type="spellEnd"/>
      <w:r>
        <w:rPr>
          <w:sz w:val="24"/>
        </w:rPr>
        <w:t xml:space="preserve">. Dieses zerfällt in braunes Mangan (IV) - </w:t>
      </w:r>
      <w:proofErr w:type="spellStart"/>
      <w:r>
        <w:rPr>
          <w:sz w:val="24"/>
        </w:rPr>
        <w:t>oxid</w:t>
      </w:r>
      <w:proofErr w:type="spellEnd"/>
      <w:r>
        <w:rPr>
          <w:sz w:val="24"/>
        </w:rPr>
        <w:t xml:space="preserve"> und atomaren Sauerstoff, welcher viel reaktiver als molekularer Sauerstoff ist. Unter Lichtblitzen wird Ethanol zu Kohlendioxid und Wasser oxidiert.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>2 KMnO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 </w:t>
      </w:r>
      <w:r>
        <w:rPr>
          <w:sz w:val="24"/>
        </w:rPr>
        <w:sym w:font="Symbol" w:char="F0AE"/>
      </w:r>
      <w:r>
        <w:rPr>
          <w:sz w:val="24"/>
        </w:rPr>
        <w:t xml:space="preserve"> 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Mn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 xml:space="preserve">7 </w:t>
      </w:r>
      <w:r>
        <w:rPr>
          <w:sz w:val="24"/>
        </w:rPr>
        <w:t>+ H</w:t>
      </w:r>
      <w:r>
        <w:rPr>
          <w:sz w:val="24"/>
          <w:vertAlign w:val="subscript"/>
        </w:rPr>
        <w:t>2</w:t>
      </w:r>
      <w:r>
        <w:rPr>
          <w:sz w:val="24"/>
        </w:rPr>
        <w:t>O, Mn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  <w:r>
        <w:rPr>
          <w:sz w:val="24"/>
        </w:rPr>
        <w:t xml:space="preserve">  </w:t>
      </w:r>
      <w:r>
        <w:rPr>
          <w:sz w:val="24"/>
        </w:rPr>
        <w:sym w:font="Symbol" w:char="F0AE"/>
      </w:r>
      <w:r>
        <w:rPr>
          <w:sz w:val="24"/>
        </w:rPr>
        <w:t xml:space="preserve"> 2 MnO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+ 3 (O)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z w:val="24"/>
        </w:rPr>
        <w:t xml:space="preserve">OH + 6O  </w:t>
      </w:r>
      <w:r>
        <w:rPr>
          <w:sz w:val="24"/>
        </w:rPr>
        <w:sym w:font="Symbol" w:char="F0AE"/>
      </w:r>
      <w:r>
        <w:rPr>
          <w:sz w:val="24"/>
        </w:rPr>
        <w:t xml:space="preserve"> 2CO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+ 3H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CE7E64" w:rsidRDefault="00CE7E64" w:rsidP="00CE7E64">
      <w:pPr>
        <w:jc w:val="both"/>
        <w:rPr>
          <w:sz w:val="24"/>
        </w:rPr>
      </w:pPr>
    </w:p>
    <w:p w:rsidR="00CE7E64" w:rsidRDefault="00CE7E64" w:rsidP="00CE7E64">
      <w:pPr>
        <w:jc w:val="both"/>
        <w:rPr>
          <w:b/>
          <w:sz w:val="24"/>
        </w:rPr>
      </w:pPr>
      <w:r>
        <w:rPr>
          <w:b/>
          <w:sz w:val="24"/>
        </w:rPr>
        <w:t>Hinweise zum Arbeitsschutz:</w:t>
      </w:r>
    </w:p>
    <w:p w:rsidR="00CE7E64" w:rsidRDefault="00CE7E64" w:rsidP="00CE7E64">
      <w:pPr>
        <w:jc w:val="both"/>
        <w:rPr>
          <w:b/>
          <w:sz w:val="24"/>
        </w:rPr>
      </w:pPr>
      <w:r>
        <w:rPr>
          <w:b/>
          <w:sz w:val="24"/>
        </w:rPr>
        <w:t>Experiment unter dem Abzug durchführen!!!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 xml:space="preserve">Vorsicht beim Umgang mit </w:t>
      </w:r>
      <w:proofErr w:type="spellStart"/>
      <w:r>
        <w:rPr>
          <w:sz w:val="24"/>
        </w:rPr>
        <w:t>konz</w:t>
      </w:r>
      <w:proofErr w:type="spellEnd"/>
      <w:r>
        <w:rPr>
          <w:sz w:val="24"/>
        </w:rPr>
        <w:t>. Schwefelsäure, Schutzbrille und Handschuhe tragen. Reagenzglas in ein Stativ einspannen, pneumatische Wanne unterstellen falls RG platzt. Vor Versuchsbeginn ein 400 ml Becherglas 1 - 2 m hoch mit gesättigter Natriumhydrogen-</w:t>
      </w:r>
      <w:proofErr w:type="spellStart"/>
      <w:r>
        <w:rPr>
          <w:sz w:val="24"/>
        </w:rPr>
        <w:t>carbonat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lösung</w:t>
      </w:r>
      <w:proofErr w:type="spellEnd"/>
      <w:r>
        <w:rPr>
          <w:sz w:val="24"/>
        </w:rPr>
        <w:t xml:space="preserve"> gefüllt, bereitstellen. Das im Reagenzglas befindliche Reaktionsgemisch (Ethanol mit </w:t>
      </w:r>
      <w:proofErr w:type="spellStart"/>
      <w:r>
        <w:rPr>
          <w:sz w:val="24"/>
        </w:rPr>
        <w:t>konz</w:t>
      </w:r>
      <w:proofErr w:type="spellEnd"/>
      <w:r>
        <w:rPr>
          <w:sz w:val="24"/>
        </w:rPr>
        <w:t xml:space="preserve">. Schwefelsäure unterschichtet) darf nicht mehr bewegt werden, weil sonst keine scharfe Grenzfläche mehr vorhanden ist (notwendig für das Gelingen!). </w:t>
      </w:r>
      <w:r>
        <w:rPr>
          <w:b/>
          <w:sz w:val="24"/>
        </w:rPr>
        <w:t>Nur einen Kristall Kalium -permanganat einwerfen, bei mehreren Kristallen besteht Explosionsgefahr!!!</w:t>
      </w:r>
      <w:r>
        <w:rPr>
          <w:sz w:val="24"/>
        </w:rPr>
        <w:t xml:space="preserve"> Erst nach dem Abklingen darf ein weiterer Kristall eingeworfen werden.</w:t>
      </w:r>
    </w:p>
    <w:p w:rsidR="00CE7E64" w:rsidRDefault="00CE7E64" w:rsidP="00CE7E64">
      <w:pPr>
        <w:jc w:val="both"/>
        <w:rPr>
          <w:sz w:val="24"/>
        </w:rPr>
      </w:pPr>
    </w:p>
    <w:p w:rsidR="00CE7E64" w:rsidRDefault="00CE7E64" w:rsidP="00CE7E64">
      <w:pPr>
        <w:jc w:val="both"/>
        <w:rPr>
          <w:b/>
          <w:sz w:val="24"/>
        </w:rPr>
      </w:pPr>
      <w:r>
        <w:rPr>
          <w:b/>
          <w:sz w:val="24"/>
        </w:rPr>
        <w:t>Recycling / Entsorgung: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 xml:space="preserve">Das Reaktionsgemisch kann nach </w:t>
      </w:r>
      <w:proofErr w:type="spellStart"/>
      <w:r>
        <w:rPr>
          <w:sz w:val="24"/>
        </w:rPr>
        <w:t>Neutralisátion</w:t>
      </w:r>
      <w:proofErr w:type="spellEnd"/>
      <w:r>
        <w:rPr>
          <w:sz w:val="24"/>
        </w:rPr>
        <w:t xml:space="preserve"> mit Natriumhydrogencarbonat in den Ausguss.</w:t>
      </w:r>
    </w:p>
    <w:p w:rsidR="00CE7E64" w:rsidRDefault="00CE7E64" w:rsidP="00CE7E64">
      <w:pPr>
        <w:jc w:val="both"/>
        <w:rPr>
          <w:sz w:val="24"/>
        </w:rPr>
      </w:pPr>
    </w:p>
    <w:p w:rsidR="00CE7E64" w:rsidRDefault="00CE7E64" w:rsidP="00CE7E64">
      <w:pPr>
        <w:jc w:val="both"/>
        <w:rPr>
          <w:b/>
          <w:sz w:val="24"/>
        </w:rPr>
      </w:pPr>
      <w:r>
        <w:rPr>
          <w:b/>
          <w:sz w:val="24"/>
        </w:rPr>
        <w:t>Erforderliche Geräte und Chemikalien: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>Stativ mit Muffe und Klemme für Reagenzgläser, Reagenzglas 16 /160 mm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 xml:space="preserve">pneumatische Wanne als Unterlage, 400 ml Becherglas zur Hälfte mit gesättigter </w:t>
      </w:r>
      <w:proofErr w:type="spellStart"/>
      <w:r>
        <w:rPr>
          <w:sz w:val="24"/>
        </w:rPr>
        <w:t>Natriumhydrogencarbonatlösung</w:t>
      </w:r>
      <w:proofErr w:type="spellEnd"/>
      <w:r>
        <w:rPr>
          <w:sz w:val="24"/>
        </w:rPr>
        <w:t xml:space="preserve"> gefüllt, Pinzette, </w:t>
      </w:r>
      <w:proofErr w:type="spellStart"/>
      <w:r>
        <w:rPr>
          <w:sz w:val="24"/>
        </w:rPr>
        <w:t>konz</w:t>
      </w:r>
      <w:proofErr w:type="spellEnd"/>
      <w:r>
        <w:rPr>
          <w:sz w:val="24"/>
        </w:rPr>
        <w:t>. Schwefelsäure, Ethanol (Brenn-</w:t>
      </w:r>
      <w:proofErr w:type="spellStart"/>
      <w:r>
        <w:rPr>
          <w:sz w:val="24"/>
        </w:rPr>
        <w:t>spiritus</w:t>
      </w:r>
      <w:proofErr w:type="spellEnd"/>
      <w:r>
        <w:rPr>
          <w:sz w:val="24"/>
        </w:rPr>
        <w:t>), Kaliumpermanganat grobkristallin.</w:t>
      </w:r>
    </w:p>
    <w:p w:rsidR="00CE7E64" w:rsidRDefault="00CE7E64" w:rsidP="00CE7E64">
      <w:pPr>
        <w:jc w:val="both"/>
        <w:rPr>
          <w:sz w:val="24"/>
        </w:rPr>
      </w:pPr>
    </w:p>
    <w:p w:rsidR="00CE7E64" w:rsidRDefault="00CE7E64" w:rsidP="00CE7E64">
      <w:pPr>
        <w:jc w:val="both"/>
        <w:rPr>
          <w:b/>
          <w:sz w:val="24"/>
        </w:rPr>
      </w:pPr>
      <w:r>
        <w:rPr>
          <w:b/>
          <w:sz w:val="24"/>
        </w:rPr>
        <w:t>Durchführung: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 xml:space="preserve">In ein Reagenzglas, welches in einem Stativ eingespannt ist, wird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5 cm hoch  Ethanol eingefüllt. Das Reagenzglas wird ganz vorsichtig  schräg eingespannt (fast horizontal) und mit einer ganz fein ausgezogenen Tropfpipette wird die </w:t>
      </w:r>
      <w:proofErr w:type="spellStart"/>
      <w:r>
        <w:rPr>
          <w:sz w:val="24"/>
        </w:rPr>
        <w:t>konz</w:t>
      </w:r>
      <w:proofErr w:type="spellEnd"/>
      <w:r>
        <w:rPr>
          <w:sz w:val="24"/>
        </w:rPr>
        <w:t xml:space="preserve">. Schwefelsäure etwa 3 cm hoch unterschichtet.  Danach wird das Reagenzglas ganz vorsichtig wieder in die </w:t>
      </w:r>
      <w:proofErr w:type="gramStart"/>
      <w:r>
        <w:rPr>
          <w:sz w:val="24"/>
        </w:rPr>
        <w:t>senkrecht</w:t>
      </w:r>
      <w:proofErr w:type="gramEnd"/>
      <w:r>
        <w:rPr>
          <w:sz w:val="24"/>
        </w:rPr>
        <w:t xml:space="preserve"> Stellung gebracht. Dieses Vorgehen sichert eine gute Grenzfläche. Unter das Reagenzglas wird eine pneumatische Wanne gestellt. Der Raum wird möglichst abgedunkelt und mit einer Pinzette wird ein </w:t>
      </w:r>
      <w:proofErr w:type="spellStart"/>
      <w:r>
        <w:rPr>
          <w:sz w:val="24"/>
        </w:rPr>
        <w:t>Kaliumpermanganatkristall</w:t>
      </w:r>
      <w:proofErr w:type="spellEnd"/>
      <w:r>
        <w:rPr>
          <w:sz w:val="24"/>
        </w:rPr>
        <w:t xml:space="preserve"> in das Reagenzglas geworfen. Nach Abklingen kann gegebenenfalls ein weiterer Kristall eingeworfen werden. Der Ansatz muss unmittelbar nach Versuchsende inaktiviert werden.</w:t>
      </w:r>
    </w:p>
    <w:p w:rsidR="00CE7E64" w:rsidRDefault="00CE7E64" w:rsidP="00CE7E64">
      <w:pPr>
        <w:jc w:val="both"/>
        <w:rPr>
          <w:sz w:val="24"/>
        </w:rPr>
      </w:pPr>
    </w:p>
    <w:p w:rsidR="00CE7E64" w:rsidRDefault="00CE7E64" w:rsidP="00CE7E64">
      <w:pPr>
        <w:jc w:val="both"/>
        <w:rPr>
          <w:b/>
          <w:sz w:val="24"/>
        </w:rPr>
      </w:pPr>
      <w:r>
        <w:rPr>
          <w:b/>
          <w:sz w:val="24"/>
        </w:rPr>
        <w:t>Behandlung der Versuchsreste: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 xml:space="preserve">Nach Abklingen der Reaktion wird der Inhalt des Reagenzglases in das Becherglas mit </w:t>
      </w:r>
      <w:proofErr w:type="spellStart"/>
      <w:r>
        <w:rPr>
          <w:sz w:val="24"/>
        </w:rPr>
        <w:t>Natriumhydrogencarbonatlösung</w:t>
      </w:r>
      <w:proofErr w:type="spellEnd"/>
      <w:r>
        <w:rPr>
          <w:sz w:val="24"/>
        </w:rPr>
        <w:t xml:space="preserve"> gegeben. Es entsteht eine kurze Stichflamme, welche durch das entstehende Kohlendioxid sofort gelöscht wird. Danach das Gemisch in den Ausguss geben.</w:t>
      </w:r>
    </w:p>
    <w:p w:rsidR="00CE7E64" w:rsidRDefault="00CE7E64" w:rsidP="00CE7E6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106B47" w:rsidRDefault="00106B47" w:rsidP="00CE7E64">
      <w:pPr>
        <w:jc w:val="both"/>
      </w:pPr>
    </w:p>
    <w:sectPr w:rsidR="00106B47" w:rsidSect="00106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7E64"/>
    <w:rsid w:val="00106B47"/>
    <w:rsid w:val="00CE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E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2016-10-22T11:00:00Z</dcterms:created>
  <dcterms:modified xsi:type="dcterms:W3CDTF">2016-10-22T11:04:00Z</dcterms:modified>
</cp:coreProperties>
</file>